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5DCE100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B524E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三类注册证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3D062365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1399D2D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产品技术证明文件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（须附采购公告内技术参数佐证材料，包括但不限于：产品技术参数白皮书或产品说明书）</w:t>
      </w:r>
    </w:p>
    <w:p w14:paraId="5A5F0C2F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1137B439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308FB577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1F565A80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216259C0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4781E3A8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截图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73E60C5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9D2C66">
      <w:pPr>
        <w:pStyle w:val="2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7.4 国家企业信用公示系统公示的公司信息、股东信息截图</w:t>
      </w:r>
    </w:p>
    <w:p w14:paraId="6D6BDB26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查询“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国家企业信用信息公示系统</w:t>
      </w:r>
      <w:r>
        <w:rPr>
          <w:rFonts w:hint="eastAsia" w:cs="Tahoma" w:asciiTheme="minorEastAsia" w:hAnsiTheme="minorEastAsia" w:eastAsiaTheme="minorEastAsia"/>
          <w:bCs/>
          <w:sz w:val="24"/>
        </w:rPr>
        <w:t>”网址（ https://www.gsxt.gov.cn/）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2035"/>
    <w:rsid w:val="11CC589C"/>
    <w:rsid w:val="15A776FF"/>
    <w:rsid w:val="17F755B2"/>
    <w:rsid w:val="1A47259A"/>
    <w:rsid w:val="1A594F7D"/>
    <w:rsid w:val="214F15EA"/>
    <w:rsid w:val="268E411E"/>
    <w:rsid w:val="27BB41ED"/>
    <w:rsid w:val="2D776E05"/>
    <w:rsid w:val="2F8226CB"/>
    <w:rsid w:val="399C4350"/>
    <w:rsid w:val="3AE74E43"/>
    <w:rsid w:val="3BC64E12"/>
    <w:rsid w:val="412B77F8"/>
    <w:rsid w:val="420A0A64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6D1542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2026-03-16T02:40:11Z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