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技术参数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医用耗材通用名称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一次性使用无菌医用激光光纤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</w:rPr>
              <w:t>适应症、适用范围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泌尿外科内腔镜碎石及前列腺激光切除、尿路上皮肿瘤激光切除术。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</w:rPr>
              <w:t>学科、品类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非血管介入类/泌尿介入材料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440" w:lineRule="exact"/>
              <w:ind w:right="6"/>
              <w:textAlignment w:val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光纤适用的波长： 1940nm～2100nm。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对应波长的传输效率：不小于80%。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光纤抗拉强度： ≥4.9N。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6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440" w:lineRule="exact"/>
              <w:ind w:right="6"/>
              <w:textAlignment w:val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光纤长度： ≥2.2m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7*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光纤的接口类型：SMA-905标准接口。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6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440" w:lineRule="exact"/>
              <w:ind w:right="6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数值孔径 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不大于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光纤最小弯曲工作半径：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不大于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688" w:type="dxa"/>
          </w:tcPr>
          <w:p>
            <w:pPr>
              <w:jc w:val="left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光纤被弯曲至最小工作半径时的传输效率： ≥80%。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光纤在最小弯曲工作半径条件下反复弯曲100次后的传输效率： ≥80%。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6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440" w:lineRule="exact"/>
              <w:ind w:left="119" w:right="6" w:firstLine="17"/>
              <w:textAlignment w:val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光纤发散角： ≤440mrad。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13*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最大传输功率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688" w:type="dxa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直径：200um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280um 、500um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600um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长度：250cm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6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>
      <w:pPr>
        <w:spacing w:line="360" w:lineRule="auto"/>
        <w:rPr>
          <w:rFonts w:hint="eastAsia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6ADE"/>
    <w:rsid w:val="0890086B"/>
    <w:rsid w:val="12E40B5C"/>
    <w:rsid w:val="18425057"/>
    <w:rsid w:val="2C60645C"/>
    <w:rsid w:val="2E985704"/>
    <w:rsid w:val="2FC543AD"/>
    <w:rsid w:val="327363AC"/>
    <w:rsid w:val="36D96ADE"/>
    <w:rsid w:val="4EB62E28"/>
    <w:rsid w:val="5A215474"/>
    <w:rsid w:val="62097790"/>
    <w:rsid w:val="6EBE3F35"/>
    <w:rsid w:val="767365C0"/>
    <w:rsid w:val="7E7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2025-06-25T09:10:00Z</dcterms:created>
  <dc:creator>admin</dc:creator>
  <cp:lastModifiedBy>GXG</cp:lastModifiedBy>
  <dcterms:modified xsi:type="dcterms:W3CDTF">2025-09-08T07:33:03Z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6E44C9ABEAF046A38C25597152F85705</vt:lpwstr>
  </property>
</Properties>
</file>